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ED" w:rsidRDefault="00EE1EED" w:rsidP="00A664AA">
      <w:pPr>
        <w:pStyle w:val="CLLOBodytext"/>
        <w:spacing w:before="0" w:after="0"/>
        <w:ind w:left="360"/>
      </w:pPr>
      <w:bookmarkStart w:id="0" w:name="_GoBack"/>
      <w:bookmarkEnd w:id="0"/>
    </w:p>
    <w:p w:rsidR="00A664AA" w:rsidRPr="00C30501" w:rsidRDefault="00A664AA" w:rsidP="00A664AA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C30501">
        <w:rPr>
          <w:rFonts w:ascii="Arial" w:hAnsi="Arial" w:cs="Arial"/>
          <w:sz w:val="22"/>
          <w:szCs w:val="22"/>
        </w:rPr>
        <w:t>In 2007 the Commonwealth government committed to increas</w:t>
      </w:r>
      <w:r w:rsidR="00C30501">
        <w:rPr>
          <w:rFonts w:ascii="Arial" w:hAnsi="Arial" w:cs="Arial"/>
          <w:sz w:val="22"/>
          <w:szCs w:val="22"/>
        </w:rPr>
        <w:t>ing</w:t>
      </w:r>
      <w:r w:rsidRPr="00C30501">
        <w:rPr>
          <w:rFonts w:ascii="Arial" w:hAnsi="Arial" w:cs="Arial"/>
          <w:sz w:val="22"/>
          <w:szCs w:val="22"/>
        </w:rPr>
        <w:t xml:space="preserve"> the national Renewable Energy Target (RET) to 20 per cent by 2020 (with the target defined as </w:t>
      </w:r>
      <w:r w:rsidR="00C30501">
        <w:rPr>
          <w:rFonts w:ascii="Arial" w:hAnsi="Arial" w:cs="Arial"/>
          <w:sz w:val="22"/>
          <w:szCs w:val="22"/>
        </w:rPr>
        <w:t xml:space="preserve">an additional </w:t>
      </w:r>
      <w:r w:rsidRPr="00C30501">
        <w:rPr>
          <w:rFonts w:ascii="Arial" w:hAnsi="Arial" w:cs="Arial"/>
          <w:sz w:val="22"/>
          <w:szCs w:val="22"/>
        </w:rPr>
        <w:t>45,000</w:t>
      </w:r>
      <w:r w:rsidR="00C30501">
        <w:rPr>
          <w:rFonts w:ascii="Arial" w:hAnsi="Arial" w:cs="Arial"/>
          <w:sz w:val="22"/>
          <w:szCs w:val="22"/>
        </w:rPr>
        <w:t xml:space="preserve"> </w:t>
      </w:r>
      <w:r w:rsidR="0050283A">
        <w:rPr>
          <w:rFonts w:ascii="Arial" w:hAnsi="Arial" w:cs="Arial"/>
          <w:sz w:val="22"/>
          <w:szCs w:val="22"/>
        </w:rPr>
        <w:t>gigaw</w:t>
      </w:r>
      <w:r w:rsidR="00C30501">
        <w:rPr>
          <w:rFonts w:ascii="Arial" w:hAnsi="Arial" w:cs="Arial"/>
          <w:sz w:val="22"/>
          <w:szCs w:val="22"/>
        </w:rPr>
        <w:t xml:space="preserve">att </w:t>
      </w:r>
      <w:r w:rsidRPr="00C30501">
        <w:rPr>
          <w:rFonts w:ascii="Arial" w:hAnsi="Arial" w:cs="Arial"/>
          <w:sz w:val="22"/>
          <w:szCs w:val="22"/>
        </w:rPr>
        <w:t>h</w:t>
      </w:r>
      <w:r w:rsidR="00C30501">
        <w:rPr>
          <w:rFonts w:ascii="Arial" w:hAnsi="Arial" w:cs="Arial"/>
          <w:sz w:val="22"/>
          <w:szCs w:val="22"/>
        </w:rPr>
        <w:t xml:space="preserve">ours of renewable energy generation </w:t>
      </w:r>
      <w:r w:rsidRPr="00C30501">
        <w:rPr>
          <w:rFonts w:ascii="Arial" w:hAnsi="Arial" w:cs="Arial"/>
          <w:sz w:val="22"/>
          <w:szCs w:val="22"/>
        </w:rPr>
        <w:t>over the period 2010 to 2020).</w:t>
      </w:r>
    </w:p>
    <w:p w:rsidR="00A664AA" w:rsidRPr="00C30501" w:rsidRDefault="00A664AA" w:rsidP="00A664AA">
      <w:pPr>
        <w:pStyle w:val="CLLOBodytext"/>
        <w:spacing w:before="0" w:after="0"/>
        <w:ind w:left="360"/>
        <w:rPr>
          <w:rFonts w:ascii="Arial" w:hAnsi="Arial" w:cs="Arial"/>
          <w:sz w:val="22"/>
          <w:szCs w:val="22"/>
        </w:rPr>
      </w:pPr>
    </w:p>
    <w:p w:rsidR="00A664AA" w:rsidRPr="00C30501" w:rsidRDefault="00A664AA" w:rsidP="00A664AA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C30501">
        <w:rPr>
          <w:rFonts w:ascii="Arial" w:hAnsi="Arial" w:cs="Arial"/>
          <w:sz w:val="22"/>
          <w:szCs w:val="22"/>
        </w:rPr>
        <w:t>This closely aligns with the Queensland Government’s support for utilising renewable energy sources.</w:t>
      </w:r>
    </w:p>
    <w:p w:rsidR="00A664AA" w:rsidRPr="00C30501" w:rsidRDefault="00A664AA" w:rsidP="00A664AA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p w:rsidR="00A664AA" w:rsidRPr="00C30501" w:rsidRDefault="00A664AA" w:rsidP="00A664AA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C30501">
        <w:rPr>
          <w:rFonts w:ascii="Arial" w:hAnsi="Arial" w:cs="Arial"/>
          <w:sz w:val="22"/>
          <w:szCs w:val="22"/>
        </w:rPr>
        <w:t xml:space="preserve">The Commonwealth Government released a discussion paper in July 2008 outlining two design approaches for an expanded </w:t>
      </w:r>
      <w:r w:rsidR="00502A84">
        <w:rPr>
          <w:rFonts w:ascii="Arial" w:hAnsi="Arial" w:cs="Arial"/>
          <w:sz w:val="22"/>
          <w:szCs w:val="22"/>
        </w:rPr>
        <w:t>RET</w:t>
      </w:r>
      <w:r w:rsidRPr="00C30501">
        <w:rPr>
          <w:rFonts w:ascii="Arial" w:hAnsi="Arial" w:cs="Arial"/>
          <w:sz w:val="22"/>
          <w:szCs w:val="22"/>
        </w:rPr>
        <w:t>.</w:t>
      </w:r>
    </w:p>
    <w:p w:rsidR="00A664AA" w:rsidRPr="00C30501" w:rsidRDefault="00A664AA" w:rsidP="00A664AA">
      <w:pPr>
        <w:pStyle w:val="CLLOparanumbers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:rsidR="00A664AA" w:rsidRPr="00D623EA" w:rsidRDefault="008D481E" w:rsidP="00A664AA">
      <w:pPr>
        <w:pStyle w:val="CLLOparanumbers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F04F8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664AA" w:rsidRPr="00F04F8C">
        <w:rPr>
          <w:rFonts w:ascii="Arial" w:hAnsi="Arial" w:cs="Arial"/>
          <w:sz w:val="22"/>
          <w:szCs w:val="22"/>
          <w:u w:val="single"/>
        </w:rPr>
        <w:t>indicated its support</w:t>
      </w:r>
      <w:r w:rsidR="00A664AA" w:rsidRPr="00D623EA">
        <w:rPr>
          <w:rFonts w:ascii="Arial" w:hAnsi="Arial" w:cs="Arial"/>
          <w:sz w:val="22"/>
          <w:szCs w:val="22"/>
        </w:rPr>
        <w:t xml:space="preserve"> for the </w:t>
      </w:r>
      <w:r w:rsidR="00502A84" w:rsidRPr="00D623EA">
        <w:rPr>
          <w:rFonts w:ascii="Arial" w:hAnsi="Arial" w:cs="Arial"/>
          <w:sz w:val="22"/>
          <w:szCs w:val="22"/>
        </w:rPr>
        <w:t>RET</w:t>
      </w:r>
      <w:r w:rsidR="00A664AA" w:rsidRPr="00D623EA">
        <w:rPr>
          <w:rFonts w:ascii="Arial" w:hAnsi="Arial" w:cs="Arial"/>
          <w:sz w:val="22"/>
          <w:szCs w:val="22"/>
        </w:rPr>
        <w:t xml:space="preserve">, particularly in the context of the RET’s role in supporting growth in </w:t>
      </w:r>
      <w:smartTag w:uri="urn:schemas-microsoft-com:office:smarttags" w:element="place">
        <w:smartTag w:uri="urn:schemas-microsoft-com:office:smarttags" w:element="State">
          <w:r w:rsidR="00A664AA" w:rsidRPr="00D623EA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D623EA">
        <w:rPr>
          <w:rFonts w:ascii="Arial" w:hAnsi="Arial" w:cs="Arial"/>
          <w:sz w:val="22"/>
          <w:szCs w:val="22"/>
        </w:rPr>
        <w:t>’s renewable energy sector.</w:t>
      </w:r>
      <w:r w:rsidR="00C30501" w:rsidRPr="00D623EA">
        <w:rPr>
          <w:rFonts w:ascii="Arial" w:hAnsi="Arial" w:cs="Arial"/>
          <w:sz w:val="22"/>
          <w:szCs w:val="22"/>
        </w:rPr>
        <w:t xml:space="preserve"> </w:t>
      </w:r>
    </w:p>
    <w:p w:rsidR="00A664AA" w:rsidRPr="00D623EA" w:rsidRDefault="00A664AA" w:rsidP="00A664AA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p w:rsidR="00D623EA" w:rsidRDefault="008D481E" w:rsidP="00D623EA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 w:rsidRPr="00F04F8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664AA" w:rsidRPr="00F04F8C">
        <w:rPr>
          <w:rFonts w:ascii="Arial" w:hAnsi="Arial" w:cs="Arial"/>
          <w:sz w:val="22"/>
          <w:szCs w:val="22"/>
          <w:u w:val="single"/>
        </w:rPr>
        <w:t>endorse</w:t>
      </w:r>
      <w:r w:rsidR="00C30501" w:rsidRPr="00F04F8C">
        <w:rPr>
          <w:rFonts w:ascii="Arial" w:hAnsi="Arial" w:cs="Arial"/>
          <w:sz w:val="22"/>
          <w:szCs w:val="22"/>
          <w:u w:val="single"/>
        </w:rPr>
        <w:t>d</w:t>
      </w:r>
      <w:r w:rsidR="00A664AA" w:rsidRPr="00D623EA">
        <w:rPr>
          <w:rFonts w:ascii="Arial" w:hAnsi="Arial" w:cs="Arial"/>
          <w:sz w:val="22"/>
          <w:szCs w:val="22"/>
        </w:rPr>
        <w:t xml:space="preserve"> </w:t>
      </w:r>
      <w:r w:rsidR="00EB6AD8">
        <w:rPr>
          <w:rFonts w:ascii="Arial" w:hAnsi="Arial" w:cs="Arial"/>
          <w:sz w:val="22"/>
          <w:szCs w:val="22"/>
        </w:rPr>
        <w:t xml:space="preserve">that </w:t>
      </w:r>
      <w:r w:rsidR="00A664AA" w:rsidRPr="00D623EA">
        <w:rPr>
          <w:rFonts w:ascii="Arial" w:hAnsi="Arial" w:cs="Arial"/>
          <w:sz w:val="22"/>
          <w:szCs w:val="22"/>
        </w:rPr>
        <w:t xml:space="preserve">Queensland broadly support </w:t>
      </w:r>
      <w:r w:rsidR="00D623EA" w:rsidRPr="00D623EA">
        <w:rPr>
          <w:rFonts w:ascii="Arial" w:hAnsi="Arial" w:cs="Arial"/>
          <w:sz w:val="22"/>
          <w:szCs w:val="22"/>
        </w:rPr>
        <w:t xml:space="preserve">the </w:t>
      </w:r>
      <w:r w:rsidR="00D623EA">
        <w:rPr>
          <w:rFonts w:ascii="Arial" w:hAnsi="Arial" w:cs="Arial"/>
          <w:sz w:val="22"/>
          <w:szCs w:val="22"/>
        </w:rPr>
        <w:t xml:space="preserve">Commonwealth’s </w:t>
      </w:r>
      <w:r w:rsidR="00D623EA" w:rsidRPr="00D623EA">
        <w:rPr>
          <w:rFonts w:ascii="Arial" w:hAnsi="Arial" w:cs="Arial"/>
          <w:sz w:val="22"/>
          <w:szCs w:val="22"/>
        </w:rPr>
        <w:t>draft legislation (Approach 1 of the design options) but seek</w:t>
      </w:r>
      <w:r w:rsidR="00D623EA">
        <w:rPr>
          <w:rFonts w:ascii="Arial" w:hAnsi="Arial" w:cs="Arial"/>
          <w:sz w:val="22"/>
          <w:szCs w:val="22"/>
        </w:rPr>
        <w:t>s</w:t>
      </w:r>
      <w:r w:rsidR="00D623EA" w:rsidRPr="00D623EA">
        <w:rPr>
          <w:rFonts w:ascii="Arial" w:hAnsi="Arial" w:cs="Arial"/>
          <w:sz w:val="22"/>
          <w:szCs w:val="22"/>
        </w:rPr>
        <w:t xml:space="preserve"> further discussion with the Commonwealth on treatment of trade-exposed, electricity-intensive industries.</w:t>
      </w:r>
    </w:p>
    <w:p w:rsidR="00EB6AD8" w:rsidRDefault="00EB6AD8" w:rsidP="00EB6AD8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p w:rsidR="00A340BC" w:rsidRPr="00A340BC" w:rsidRDefault="008D481E" w:rsidP="00A340BC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  <w:lang w:val="en-AU"/>
        </w:rPr>
      </w:pPr>
      <w:r w:rsidRPr="00F04F8C">
        <w:rPr>
          <w:rFonts w:ascii="Arial" w:hAnsi="Arial" w:cs="Arial"/>
          <w:sz w:val="22"/>
          <w:szCs w:val="22"/>
          <w:u w:val="single"/>
          <w:lang w:val="en-AU"/>
        </w:rPr>
        <w:t xml:space="preserve">Cabinet </w:t>
      </w:r>
      <w:r w:rsidR="00A340BC" w:rsidRPr="00F04F8C">
        <w:rPr>
          <w:rFonts w:ascii="Arial" w:hAnsi="Arial" w:cs="Arial"/>
          <w:sz w:val="22"/>
          <w:szCs w:val="22"/>
          <w:u w:val="single"/>
          <w:lang w:val="en-AU"/>
        </w:rPr>
        <w:t>noted</w:t>
      </w:r>
      <w:r w:rsidR="00A340BC" w:rsidRPr="00A340BC">
        <w:rPr>
          <w:rFonts w:ascii="Arial" w:hAnsi="Arial" w:cs="Arial"/>
          <w:sz w:val="22"/>
          <w:szCs w:val="22"/>
          <w:lang w:val="en-AU"/>
        </w:rPr>
        <w:t xml:space="preserve"> that the formerly announced Queensland Renewable and Low Emission Energy Target (RLEET) scheme </w:t>
      </w:r>
      <w:r w:rsidR="00A31CF8">
        <w:rPr>
          <w:rFonts w:ascii="Arial" w:hAnsi="Arial" w:cs="Arial"/>
          <w:sz w:val="22"/>
          <w:szCs w:val="22"/>
          <w:lang w:val="en-AU"/>
        </w:rPr>
        <w:t xml:space="preserve">is absorbed and </w:t>
      </w:r>
      <w:r w:rsidR="00F04F8C">
        <w:rPr>
          <w:rFonts w:ascii="Arial" w:hAnsi="Arial" w:cs="Arial"/>
          <w:sz w:val="22"/>
          <w:szCs w:val="22"/>
          <w:lang w:val="en-AU"/>
        </w:rPr>
        <w:t xml:space="preserve">superseded </w:t>
      </w:r>
      <w:r w:rsidR="00A340BC" w:rsidRPr="00A340BC">
        <w:rPr>
          <w:rFonts w:ascii="Arial" w:hAnsi="Arial" w:cs="Arial"/>
          <w:sz w:val="22"/>
          <w:szCs w:val="22"/>
          <w:lang w:val="en-AU"/>
        </w:rPr>
        <w:t>by the expanded national R</w:t>
      </w:r>
      <w:r w:rsidR="00A340BC">
        <w:rPr>
          <w:rFonts w:ascii="Arial" w:hAnsi="Arial" w:cs="Arial"/>
          <w:sz w:val="22"/>
          <w:szCs w:val="22"/>
          <w:lang w:val="en-AU"/>
        </w:rPr>
        <w:t xml:space="preserve">enewable Energy </w:t>
      </w:r>
      <w:r w:rsidR="00A340BC" w:rsidRPr="00A340BC">
        <w:rPr>
          <w:rFonts w:ascii="Arial" w:hAnsi="Arial" w:cs="Arial"/>
          <w:sz w:val="22"/>
          <w:szCs w:val="22"/>
          <w:lang w:val="en-AU"/>
        </w:rPr>
        <w:t>T</w:t>
      </w:r>
      <w:r w:rsidR="00A340BC">
        <w:rPr>
          <w:rFonts w:ascii="Arial" w:hAnsi="Arial" w:cs="Arial"/>
          <w:sz w:val="22"/>
          <w:szCs w:val="22"/>
          <w:lang w:val="en-AU"/>
        </w:rPr>
        <w:t>arget.</w:t>
      </w:r>
    </w:p>
    <w:p w:rsidR="00D623EA" w:rsidRPr="00A340BC" w:rsidRDefault="00D623EA" w:rsidP="00A340BC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p w:rsidR="00D50601" w:rsidRDefault="00D50601" w:rsidP="00C30501">
      <w:pPr>
        <w:pStyle w:val="CLLOBodytext"/>
        <w:numPr>
          <w:ilvl w:val="0"/>
          <w:numId w:val="14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Attachments</w:t>
      </w:r>
    </w:p>
    <w:p w:rsidR="00D50601" w:rsidRDefault="00D50601" w:rsidP="00D50601">
      <w:pPr>
        <w:pStyle w:val="CLLOBodytext"/>
        <w:spacing w:before="0" w:after="0"/>
        <w:rPr>
          <w:rFonts w:ascii="Arial" w:hAnsi="Arial" w:cs="Arial"/>
          <w:sz w:val="22"/>
          <w:szCs w:val="22"/>
        </w:rPr>
      </w:pPr>
    </w:p>
    <w:p w:rsidR="00D50601" w:rsidRDefault="008E13FB" w:rsidP="00D50601">
      <w:pPr>
        <w:pStyle w:val="CLLOBodytext"/>
        <w:numPr>
          <w:ilvl w:val="0"/>
          <w:numId w:val="15"/>
        </w:numPr>
        <w:spacing w:before="0" w:after="0"/>
        <w:rPr>
          <w:rFonts w:ascii="Arial" w:hAnsi="Arial" w:cs="Arial"/>
          <w:sz w:val="22"/>
          <w:szCs w:val="22"/>
        </w:rPr>
      </w:pPr>
      <w:hyperlink r:id="rId7" w:history="1">
        <w:r w:rsidR="00D50601" w:rsidRPr="00F3298B">
          <w:rPr>
            <w:rStyle w:val="Hyperlink"/>
            <w:rFonts w:ascii="Arial" w:hAnsi="Arial" w:cs="Arial"/>
            <w:sz w:val="22"/>
            <w:szCs w:val="22"/>
          </w:rPr>
          <w:t>Commonwealth Government’s Design Preferences for Expanded RET</w:t>
        </w:r>
      </w:hyperlink>
    </w:p>
    <w:sectPr w:rsidR="00D50601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E0" w:rsidRDefault="00750AE0">
      <w:r>
        <w:separator/>
      </w:r>
    </w:p>
  </w:endnote>
  <w:endnote w:type="continuationSeparator" w:id="0">
    <w:p w:rsidR="00750AE0" w:rsidRDefault="0075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8B" w:rsidRPr="001141E1" w:rsidRDefault="00F3298B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E0" w:rsidRDefault="00750AE0">
      <w:r>
        <w:separator/>
      </w:r>
    </w:p>
  </w:footnote>
  <w:footnote w:type="continuationSeparator" w:id="0">
    <w:p w:rsidR="00750AE0" w:rsidRDefault="00750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8B" w:rsidRPr="00CE10F3" w:rsidRDefault="00F3298B" w:rsidP="009C27AA">
    <w:pPr>
      <w:pStyle w:val="Header"/>
      <w:ind w:firstLine="2880"/>
      <w:jc w:val="right"/>
      <w:rPr>
        <w:rFonts w:ascii="Arial" w:hAnsi="Arial" w:cs="Arial"/>
        <w:b/>
      </w:rPr>
    </w:pPr>
  </w:p>
  <w:p w:rsidR="00F3298B" w:rsidRPr="008D481E" w:rsidRDefault="004C7000" w:rsidP="008D481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98B" w:rsidRPr="008D481E">
      <w:rPr>
        <w:rFonts w:ascii="Arial" w:hAnsi="Arial" w:cs="Arial"/>
        <w:b/>
        <w:noProof/>
        <w:sz w:val="22"/>
        <w:szCs w:val="22"/>
        <w:u w:val="single"/>
      </w:rPr>
      <w:t>Cabinet</w:t>
    </w:r>
    <w:r w:rsidR="00F3298B" w:rsidRPr="008D481E">
      <w:rPr>
        <w:rFonts w:ascii="Arial" w:hAnsi="Arial" w:cs="Arial"/>
        <w:b/>
        <w:sz w:val="22"/>
        <w:szCs w:val="22"/>
        <w:u w:val="single"/>
      </w:rPr>
      <w:t xml:space="preserve"> – February 2009</w:t>
    </w:r>
  </w:p>
  <w:p w:rsidR="00F3298B" w:rsidRPr="000400F9" w:rsidRDefault="00F3298B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F3298B" w:rsidRPr="00A664AA" w:rsidRDefault="00F3298B" w:rsidP="00A664AA">
    <w:pPr>
      <w:pStyle w:val="CLLOBodytext"/>
      <w:spacing w:before="0" w:after="0"/>
      <w:rPr>
        <w:rFonts w:ascii="Arial" w:hAnsi="Arial" w:cs="Arial"/>
        <w:b/>
        <w:sz w:val="22"/>
        <w:szCs w:val="22"/>
        <w:u w:val="single"/>
        <w:lang w:eastAsia="en-AU"/>
      </w:rPr>
    </w:pPr>
    <w:r w:rsidRPr="00A664AA">
      <w:rPr>
        <w:rFonts w:ascii="Arial" w:hAnsi="Arial" w:cs="Arial"/>
        <w:b/>
        <w:sz w:val="22"/>
        <w:szCs w:val="22"/>
        <w:u w:val="single"/>
        <w:lang w:eastAsia="en-AU"/>
      </w:rPr>
      <w:t>Queensland Government response to the Commonwealth Government’s proposals for an expanded national Renewable Energy Target.</w:t>
    </w:r>
  </w:p>
  <w:p w:rsidR="00F3298B" w:rsidRDefault="00F3298B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Mines and Energy</w:t>
    </w:r>
  </w:p>
  <w:p w:rsidR="00F3298B" w:rsidRPr="00F10DF9" w:rsidRDefault="00F3298B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3375"/>
    <w:multiLevelType w:val="hybridMultilevel"/>
    <w:tmpl w:val="B8C635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E3639"/>
    <w:multiLevelType w:val="hybridMultilevel"/>
    <w:tmpl w:val="078602DC"/>
    <w:lvl w:ilvl="0" w:tplc="0120954A">
      <w:start w:val="1"/>
      <w:numFmt w:val="decimal"/>
      <w:pStyle w:val="CLLOpara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8A425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936531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A8A425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993653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22F1392"/>
    <w:multiLevelType w:val="hybridMultilevel"/>
    <w:tmpl w:val="E2F0BC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A2C25"/>
    <w:multiLevelType w:val="hybridMultilevel"/>
    <w:tmpl w:val="608C649A"/>
    <w:lvl w:ilvl="0" w:tplc="E676E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AA"/>
    <w:rsid w:val="00021B34"/>
    <w:rsid w:val="0002734D"/>
    <w:rsid w:val="000400F9"/>
    <w:rsid w:val="000B545C"/>
    <w:rsid w:val="001117C2"/>
    <w:rsid w:val="001141E1"/>
    <w:rsid w:val="00133013"/>
    <w:rsid w:val="00133A34"/>
    <w:rsid w:val="00152947"/>
    <w:rsid w:val="00160524"/>
    <w:rsid w:val="001E365B"/>
    <w:rsid w:val="00254E35"/>
    <w:rsid w:val="0028053C"/>
    <w:rsid w:val="002B5E37"/>
    <w:rsid w:val="002F57E4"/>
    <w:rsid w:val="00314FEB"/>
    <w:rsid w:val="0032048B"/>
    <w:rsid w:val="00346156"/>
    <w:rsid w:val="00382380"/>
    <w:rsid w:val="003A269C"/>
    <w:rsid w:val="003A2E0F"/>
    <w:rsid w:val="003A5BAD"/>
    <w:rsid w:val="003C3732"/>
    <w:rsid w:val="003E2A98"/>
    <w:rsid w:val="003F020B"/>
    <w:rsid w:val="00404CF3"/>
    <w:rsid w:val="00417D1D"/>
    <w:rsid w:val="00435BE5"/>
    <w:rsid w:val="0048019C"/>
    <w:rsid w:val="00486A99"/>
    <w:rsid w:val="004C7000"/>
    <w:rsid w:val="004E6C38"/>
    <w:rsid w:val="0050283A"/>
    <w:rsid w:val="00502A84"/>
    <w:rsid w:val="00562AE4"/>
    <w:rsid w:val="0056401D"/>
    <w:rsid w:val="005B1D9B"/>
    <w:rsid w:val="005C224F"/>
    <w:rsid w:val="005D6D79"/>
    <w:rsid w:val="005E6F57"/>
    <w:rsid w:val="005F7F7D"/>
    <w:rsid w:val="006012D8"/>
    <w:rsid w:val="006100CC"/>
    <w:rsid w:val="00644076"/>
    <w:rsid w:val="00644959"/>
    <w:rsid w:val="006631CF"/>
    <w:rsid w:val="00682036"/>
    <w:rsid w:val="00687D59"/>
    <w:rsid w:val="006B3B54"/>
    <w:rsid w:val="006D0869"/>
    <w:rsid w:val="006E6713"/>
    <w:rsid w:val="0070307B"/>
    <w:rsid w:val="007060D7"/>
    <w:rsid w:val="00710AAE"/>
    <w:rsid w:val="00726F36"/>
    <w:rsid w:val="00745BB2"/>
    <w:rsid w:val="00750AE0"/>
    <w:rsid w:val="00796B3E"/>
    <w:rsid w:val="007A0871"/>
    <w:rsid w:val="007A25F4"/>
    <w:rsid w:val="007A6599"/>
    <w:rsid w:val="007D3B9D"/>
    <w:rsid w:val="007F52D6"/>
    <w:rsid w:val="008075D5"/>
    <w:rsid w:val="0082040E"/>
    <w:rsid w:val="00845D3E"/>
    <w:rsid w:val="0087357F"/>
    <w:rsid w:val="008A5F1B"/>
    <w:rsid w:val="008B7E17"/>
    <w:rsid w:val="008C3732"/>
    <w:rsid w:val="008D481E"/>
    <w:rsid w:val="008E13FB"/>
    <w:rsid w:val="008F2160"/>
    <w:rsid w:val="008F44CD"/>
    <w:rsid w:val="00922A5B"/>
    <w:rsid w:val="009A6B41"/>
    <w:rsid w:val="009A6D85"/>
    <w:rsid w:val="009C27AA"/>
    <w:rsid w:val="009D0C12"/>
    <w:rsid w:val="009F5476"/>
    <w:rsid w:val="00A20C0E"/>
    <w:rsid w:val="00A30F55"/>
    <w:rsid w:val="00A31CF8"/>
    <w:rsid w:val="00A340BC"/>
    <w:rsid w:val="00A354FF"/>
    <w:rsid w:val="00A37198"/>
    <w:rsid w:val="00A527A5"/>
    <w:rsid w:val="00A532A0"/>
    <w:rsid w:val="00A62369"/>
    <w:rsid w:val="00A65D91"/>
    <w:rsid w:val="00A664AA"/>
    <w:rsid w:val="00A93C92"/>
    <w:rsid w:val="00AA128C"/>
    <w:rsid w:val="00AB6637"/>
    <w:rsid w:val="00AE1995"/>
    <w:rsid w:val="00B22CC3"/>
    <w:rsid w:val="00B40BDF"/>
    <w:rsid w:val="00B73ECA"/>
    <w:rsid w:val="00C07656"/>
    <w:rsid w:val="00C115EE"/>
    <w:rsid w:val="00C30501"/>
    <w:rsid w:val="00C805EC"/>
    <w:rsid w:val="00C85B71"/>
    <w:rsid w:val="00CC4774"/>
    <w:rsid w:val="00CE10F3"/>
    <w:rsid w:val="00CE6FBA"/>
    <w:rsid w:val="00CF3DF2"/>
    <w:rsid w:val="00D50601"/>
    <w:rsid w:val="00D54601"/>
    <w:rsid w:val="00D564F1"/>
    <w:rsid w:val="00D623EA"/>
    <w:rsid w:val="00DA7DA2"/>
    <w:rsid w:val="00DC5364"/>
    <w:rsid w:val="00DD3CD5"/>
    <w:rsid w:val="00DD497C"/>
    <w:rsid w:val="00DF4650"/>
    <w:rsid w:val="00E463C2"/>
    <w:rsid w:val="00EA00BF"/>
    <w:rsid w:val="00EB6AD8"/>
    <w:rsid w:val="00EC60AC"/>
    <w:rsid w:val="00ED73A4"/>
    <w:rsid w:val="00EE1EED"/>
    <w:rsid w:val="00F04F8C"/>
    <w:rsid w:val="00F05F7A"/>
    <w:rsid w:val="00F07C7F"/>
    <w:rsid w:val="00F10DF9"/>
    <w:rsid w:val="00F2471E"/>
    <w:rsid w:val="00F3298B"/>
    <w:rsid w:val="00F33F67"/>
    <w:rsid w:val="00F4544C"/>
    <w:rsid w:val="00F756F8"/>
    <w:rsid w:val="00F8740C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AA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A664AA"/>
    <w:pPr>
      <w:spacing w:before="240" w:after="120"/>
      <w:jc w:val="both"/>
      <w:outlineLvl w:val="5"/>
    </w:pPr>
    <w:rPr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LLOBodytext">
    <w:name w:val="CLLO Body text"/>
    <w:basedOn w:val="Normal"/>
    <w:rsid w:val="00A664AA"/>
    <w:pPr>
      <w:spacing w:before="120" w:after="120"/>
      <w:jc w:val="both"/>
    </w:pPr>
  </w:style>
  <w:style w:type="paragraph" w:customStyle="1" w:styleId="CLLOparanumbers">
    <w:name w:val="CLLO para numbers"/>
    <w:basedOn w:val="Normal"/>
    <w:rsid w:val="00A664AA"/>
    <w:pPr>
      <w:numPr>
        <w:numId w:val="12"/>
      </w:numPr>
      <w:spacing w:before="120" w:after="120"/>
      <w:jc w:val="both"/>
    </w:pPr>
    <w:rPr>
      <w:lang w:val="en-AU"/>
    </w:rPr>
  </w:style>
  <w:style w:type="character" w:styleId="Hyperlink">
    <w:name w:val="Hyperlink"/>
    <w:basedOn w:val="DefaultParagraphFont"/>
    <w:rsid w:val="00F3298B"/>
    <w:rPr>
      <w:color w:val="0000FF"/>
      <w:u w:val="single"/>
    </w:rPr>
  </w:style>
  <w:style w:type="character" w:styleId="FollowedHyperlink">
    <w:name w:val="FollowedHyperlink"/>
    <w:basedOn w:val="DefaultParagraphFont"/>
    <w:rsid w:val="00F3298B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1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onnorca\Local%20Settings\Temporary%20Internet%20Files\OLKA3\Decision%20Summary%20Template%20v1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v1 1.dot</Template>
  <TotalTime>0</TotalTime>
  <Pages>1</Pages>
  <Words>164</Words>
  <Characters>981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1139</CharactersWithSpaces>
  <SharedDoc>false</SharedDoc>
  <HyperlinkBase>https://www.cabinet.qld.gov.au/documents/2009/Feb/Gov Response to Renewable Energy Target/</HyperlinkBase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Attachments/1.xls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Energy</cp:keywords>
  <dc:description/>
  <cp:lastModifiedBy/>
  <cp:revision>2</cp:revision>
  <cp:lastPrinted>2009-07-16T01:37:00Z</cp:lastPrinted>
  <dcterms:created xsi:type="dcterms:W3CDTF">2017-10-24T21:59:00Z</dcterms:created>
  <dcterms:modified xsi:type="dcterms:W3CDTF">2018-03-06T00:56:00Z</dcterms:modified>
  <cp:category>Electricity</cp:category>
</cp:coreProperties>
</file>